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BE8" w:rsidRPr="00C93BE8" w:rsidRDefault="00C93BE8" w:rsidP="00C93BE8">
      <w:pPr>
        <w:shd w:val="clear" w:color="auto" w:fill="FFFFFF"/>
        <w:spacing w:after="120" w:line="291" w:lineRule="atLeast"/>
        <w:outlineLvl w:val="0"/>
        <w:rPr>
          <w:rFonts w:ascii="-apple-system-font" w:eastAsia="Times New Roman" w:hAnsi="-apple-system-font" w:cs="Arial"/>
          <w:b/>
          <w:bCs/>
          <w:kern w:val="36"/>
          <w:sz w:val="57"/>
          <w:szCs w:val="57"/>
          <w:lang w:eastAsia="en-GB"/>
          <w14:ligatures w14:val="none"/>
        </w:rPr>
      </w:pPr>
      <w:r w:rsidRPr="00C93BE8">
        <w:rPr>
          <w:rFonts w:ascii="-apple-system-font" w:eastAsia="Times New Roman" w:hAnsi="-apple-system-font" w:cs="Arial"/>
          <w:b/>
          <w:bCs/>
          <w:kern w:val="36"/>
          <w:sz w:val="57"/>
          <w:szCs w:val="57"/>
          <w:lang w:eastAsia="en-GB"/>
          <w14:ligatures w14:val="none"/>
        </w:rPr>
        <w:t>Credo: May the Lord make us truly thankful for saying Grace</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In March, I felt in need of a holiday, grieving after my father’s death. A group of us went to stay with generous friends. Our hosts imposed one house rule: at lunch and dinner we would say Grace (from the Latin </w:t>
      </w:r>
      <w:proofErr w:type="spellStart"/>
      <w:r w:rsidRPr="00C93BE8">
        <w:rPr>
          <w:rFonts w:ascii="-apple-system-font" w:eastAsia="Times New Roman" w:hAnsi="-apple-system-font" w:cs="Arial"/>
          <w:i/>
          <w:iCs/>
          <w:kern w:val="0"/>
          <w:sz w:val="29"/>
          <w:szCs w:val="29"/>
          <w:lang w:eastAsia="en-GB"/>
          <w14:ligatures w14:val="none"/>
        </w:rPr>
        <w:t>gratiarum</w:t>
      </w:r>
      <w:proofErr w:type="spellEnd"/>
      <w:r w:rsidRPr="00C93BE8">
        <w:rPr>
          <w:rFonts w:ascii="-apple-system-font" w:eastAsia="Times New Roman" w:hAnsi="-apple-system-font" w:cs="Arial"/>
          <w:i/>
          <w:iCs/>
          <w:kern w:val="0"/>
          <w:sz w:val="29"/>
          <w:szCs w:val="29"/>
          <w:lang w:eastAsia="en-GB"/>
          <w14:ligatures w14:val="none"/>
        </w:rPr>
        <w:t xml:space="preserve"> </w:t>
      </w:r>
      <w:proofErr w:type="spellStart"/>
      <w:r w:rsidRPr="00C93BE8">
        <w:rPr>
          <w:rFonts w:ascii="-apple-system-font" w:eastAsia="Times New Roman" w:hAnsi="-apple-system-font" w:cs="Arial"/>
          <w:i/>
          <w:iCs/>
          <w:kern w:val="0"/>
          <w:sz w:val="29"/>
          <w:szCs w:val="29"/>
          <w:lang w:eastAsia="en-GB"/>
          <w14:ligatures w14:val="none"/>
        </w:rPr>
        <w:t>actio</w:t>
      </w:r>
      <w:proofErr w:type="spellEnd"/>
      <w:r w:rsidRPr="00C93BE8">
        <w:rPr>
          <w:rFonts w:ascii="-apple-system-font" w:eastAsia="Times New Roman" w:hAnsi="-apple-system-font" w:cs="Arial"/>
          <w:kern w:val="0"/>
          <w:sz w:val="29"/>
          <w:szCs w:val="29"/>
          <w:lang w:eastAsia="en-GB"/>
          <w14:ligatures w14:val="none"/>
        </w:rPr>
        <w:t>, “act of thanks”: a prayer before or after eating). We would take turns to preside.</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Enforced Grace-pronouncing might sound embarrassing. My childhood habit of saying Grace before Sunday lunch has long lapsed. However, we each surprisingly easily recalled phrases such as “For what we are about to receive, may the Lord make us truly thankful”, or “</w:t>
      </w:r>
      <w:r w:rsidRPr="00C93BE8">
        <w:rPr>
          <w:rFonts w:ascii="-apple-system-font" w:eastAsia="Times New Roman" w:hAnsi="-apple-system-font" w:cs="Arial"/>
          <w:i/>
          <w:iCs/>
          <w:kern w:val="0"/>
          <w:sz w:val="29"/>
          <w:szCs w:val="29"/>
          <w:lang w:eastAsia="en-GB"/>
          <w14:ligatures w14:val="none"/>
        </w:rPr>
        <w:t xml:space="preserve">Benedictus </w:t>
      </w:r>
      <w:proofErr w:type="spellStart"/>
      <w:r w:rsidRPr="00C93BE8">
        <w:rPr>
          <w:rFonts w:ascii="-apple-system-font" w:eastAsia="Times New Roman" w:hAnsi="-apple-system-font" w:cs="Arial"/>
          <w:i/>
          <w:iCs/>
          <w:kern w:val="0"/>
          <w:sz w:val="29"/>
          <w:szCs w:val="29"/>
          <w:lang w:eastAsia="en-GB"/>
          <w14:ligatures w14:val="none"/>
        </w:rPr>
        <w:t>benedicat</w:t>
      </w:r>
      <w:proofErr w:type="spellEnd"/>
      <w:r w:rsidRPr="00C93BE8">
        <w:rPr>
          <w:rFonts w:ascii="-apple-system-font" w:eastAsia="Times New Roman" w:hAnsi="-apple-system-font" w:cs="Arial"/>
          <w:kern w:val="0"/>
          <w:sz w:val="29"/>
          <w:szCs w:val="29"/>
          <w:lang w:eastAsia="en-GB"/>
          <w14:ligatures w14:val="none"/>
        </w:rPr>
        <w:t>” (“May He who is blessed bless [this food]”). One friend, contemplating the night sky before dinner, quoted Voltaire: “You see many stars at night in the sky but find them not when the sun rises; can you say that there are no stars in the heaven of day? So, o man! because you behold not God in the days of your ignorance, say not that there is no God.”</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 xml:space="preserve">In the Bible, St Paul counsels (1 Thessalonians v, 18): “In </w:t>
      </w:r>
      <w:proofErr w:type="spellStart"/>
      <w:proofErr w:type="gramStart"/>
      <w:r w:rsidRPr="00C93BE8">
        <w:rPr>
          <w:rFonts w:ascii="-apple-system-font" w:eastAsia="Times New Roman" w:hAnsi="-apple-system-font" w:cs="Arial"/>
          <w:kern w:val="0"/>
          <w:sz w:val="29"/>
          <w:szCs w:val="29"/>
          <w:lang w:eastAsia="en-GB"/>
          <w14:ligatures w14:val="none"/>
        </w:rPr>
        <w:t>every thing</w:t>
      </w:r>
      <w:proofErr w:type="spellEnd"/>
      <w:proofErr w:type="gramEnd"/>
      <w:r w:rsidRPr="00C93BE8">
        <w:rPr>
          <w:rFonts w:ascii="-apple-system-font" w:eastAsia="Times New Roman" w:hAnsi="-apple-system-font" w:cs="Arial"/>
          <w:kern w:val="0"/>
          <w:sz w:val="29"/>
          <w:szCs w:val="29"/>
          <w:lang w:eastAsia="en-GB"/>
          <w14:ligatures w14:val="none"/>
        </w:rPr>
        <w:t xml:space="preserve"> give thanks”. A colleague recalls her minister uncle intoning: “Let us to the Lord give praise/For this delicious </w:t>
      </w:r>
      <w:proofErr w:type="spellStart"/>
      <w:r w:rsidRPr="00C93BE8">
        <w:rPr>
          <w:rFonts w:ascii="-apple-system-font" w:eastAsia="Times New Roman" w:hAnsi="-apple-system-font" w:cs="Arial"/>
          <w:kern w:val="0"/>
          <w:sz w:val="29"/>
          <w:szCs w:val="29"/>
          <w:lang w:eastAsia="en-GB"/>
          <w14:ligatures w14:val="none"/>
        </w:rPr>
        <w:t>bolognese</w:t>
      </w:r>
      <w:proofErr w:type="spellEnd"/>
      <w:r w:rsidRPr="00C93BE8">
        <w:rPr>
          <w:rFonts w:ascii="-apple-system-font" w:eastAsia="Times New Roman" w:hAnsi="-apple-system-font" w:cs="Arial"/>
          <w:kern w:val="0"/>
          <w:sz w:val="29"/>
          <w:szCs w:val="29"/>
          <w:lang w:eastAsia="en-GB"/>
          <w14:ligatures w14:val="none"/>
        </w:rPr>
        <w:t xml:space="preserve">”, and “For tea and buns and buttered toast/Praise Father, Son and Holy Ghost.” My mother’s vicar cherishes: “Lord eternal, Lord divine/ Whose Son turned water into wine/ Bless these women/ Bless these men/ Who are about to turn it back again!” My now-adult sons considered the children’s classic “Thank you for the world so sweet . . .” namby-pamby, substituting “Rub a dub </w:t>
      </w:r>
      <w:proofErr w:type="spellStart"/>
      <w:r w:rsidRPr="00C93BE8">
        <w:rPr>
          <w:rFonts w:ascii="-apple-system-font" w:eastAsia="Times New Roman" w:hAnsi="-apple-system-font" w:cs="Arial"/>
          <w:kern w:val="0"/>
          <w:sz w:val="29"/>
          <w:szCs w:val="29"/>
          <w:lang w:eastAsia="en-GB"/>
          <w14:ligatures w14:val="none"/>
        </w:rPr>
        <w:t>dub</w:t>
      </w:r>
      <w:proofErr w:type="spellEnd"/>
      <w:r w:rsidRPr="00C93BE8">
        <w:rPr>
          <w:rFonts w:ascii="-apple-system-font" w:eastAsia="Times New Roman" w:hAnsi="-apple-system-font" w:cs="Arial"/>
          <w:kern w:val="0"/>
          <w:sz w:val="29"/>
          <w:szCs w:val="29"/>
          <w:lang w:eastAsia="en-GB"/>
          <w14:ligatures w14:val="none"/>
        </w:rPr>
        <w:t>, thanks for the grub” with subversive giggles.</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However, a retired army padre notes that, at military dinners, Grace set the mood. Memorable humour should be balanced with respect for the practice of praying. Praise and thanksgiving are about surrendering and lifting ourselves up to God, not reducing God down.</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CS Lewis described grace, available equally to all, as the distinguishing characteristic of the Christian faith: “God’s love to the undeserving, manifested supremely in the incarnation, death, and resurrection of Christ.”</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Unearned divine favours include providing our food. Jesus and St Paul pray before meals (Luke xxiv, 30; Acts xxvii, 35; 1 Corinthians x, 31). “Grace”, rather like “Holy Communion”, commemorates this and counterbalances hubris. The Lord’s Prayer humbly asks God to give us our daily bread, acknowledging total reliance on God for our preservation.</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Acknowledging God’s generosity should inspire in us a parallel spirit of generosity to others. We may feel detached from food’s origins and relatively complacent about food supply. Yet some people in this country are struggling to pay for food. Food, being essential, should be valued more than rarer blessings. The war in Ukraine’s impact on grain supplies reminds us not to take it for granted.</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Sharing Grace on holiday transcended food. The pause it created allowed perspective to look around, appreciate and rejoice. We celebrated friends and fun, the joys of human love, in beautiful surroundings, with thanks. For me, expressing gratitude felt life-enhancing: unburdening, cleansing, accepting, restorative, happy.</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Yet, just as I rediscovered the serenity value of the Grace, it was being discarded at Lincoln’s Inn. A message from the Treasurer, expressing the wish to be “relevant and inclusive”, “demystify” and “correct outdated stereotypes”, explained that the disallowing of Christian Grace marked the importance of providing “a setting in which all feel welcome”.</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Why suppress a hopeful practice common to many religions? I feel sorry for the younger generation, bombarded with global bad news while having fortifying rituals classed as anachronisms or quirks, to be corrected and expunged (offensively) as irrelevant. The possibility of a loving higher power cannot be “demystified”. How is absolutism inclusive? As Voltaire advised, contemplate the stars and: “Say not that there is no God”.</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It also demonstrates a fundamental misunderstanding of Anglicanism, manifest in innovations at the Coronation. As the Rev Dr Alan Billings writes, to be a national church the Church of England is a “parish-based Church . . . ministering to people in every place regardless of their own religious or non-religious loyalties”. Like God’s grace, it is universally offered; not exclusively to some privileged “members’ club”.</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Gratefully, I feel that my life has been more joyous for the framework and perspective of Christianity, with the opportunity to hear its (relevant, inclusive, welcoming) message of unconditional love. The young are being cheated of that gently sustaining joy that was restored to me, through Grace’s comforting formula, after losing my lovely father. I looked up and out and felt truly thankful.</w:t>
      </w:r>
    </w:p>
    <w:p w:rsidR="00C93BE8" w:rsidRPr="00C93BE8" w:rsidRDefault="00C93BE8" w:rsidP="00C93BE8">
      <w:pPr>
        <w:shd w:val="clear" w:color="auto" w:fill="FFFFFF"/>
        <w:spacing w:before="100" w:beforeAutospacing="1" w:after="100" w:afterAutospacing="1" w:line="360" w:lineRule="atLeast"/>
        <w:rPr>
          <w:rFonts w:ascii="-apple-system-font" w:eastAsia="Times New Roman" w:hAnsi="-apple-system-font" w:cs="Arial"/>
          <w:kern w:val="0"/>
          <w:sz w:val="29"/>
          <w:szCs w:val="29"/>
          <w:lang w:eastAsia="en-GB"/>
          <w14:ligatures w14:val="none"/>
        </w:rPr>
      </w:pPr>
      <w:r w:rsidRPr="00C93BE8">
        <w:rPr>
          <w:rFonts w:ascii="-apple-system-font" w:eastAsia="Times New Roman" w:hAnsi="-apple-system-font" w:cs="Arial"/>
          <w:kern w:val="0"/>
          <w:sz w:val="29"/>
          <w:szCs w:val="29"/>
          <w:lang w:eastAsia="en-GB"/>
          <w14:ligatures w14:val="none"/>
        </w:rPr>
        <w:t>Emma Thompson is a freelance writer and a member of Save the Parish — </w:t>
      </w:r>
      <w:hyperlink r:id="rId4" w:tgtFrame="_blank" w:history="1">
        <w:r w:rsidRPr="00C93BE8">
          <w:rPr>
            <w:rFonts w:ascii="-apple-system-font" w:eastAsia="Times New Roman" w:hAnsi="-apple-system-font" w:cs="Arial"/>
            <w:color w:val="1155CC"/>
            <w:kern w:val="0"/>
            <w:sz w:val="29"/>
            <w:szCs w:val="29"/>
            <w:u w:val="single"/>
            <w:lang w:eastAsia="en-GB"/>
            <w14:ligatures w14:val="none"/>
          </w:rPr>
          <w:t>savetheparish.com</w:t>
        </w:r>
      </w:hyperlink>
    </w:p>
    <w:p w:rsidR="00C93BE8" w:rsidRDefault="00C93BE8"/>
    <w:sectPr w:rsidR="00C93B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E8"/>
    <w:rsid w:val="00C93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3AFE35-8655-45D2-B3EE-BD9A5B31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3443">
      <w:bodyDiv w:val="1"/>
      <w:marLeft w:val="0"/>
      <w:marRight w:val="0"/>
      <w:marTop w:val="0"/>
      <w:marBottom w:val="0"/>
      <w:divBdr>
        <w:top w:val="none" w:sz="0" w:space="0" w:color="auto"/>
        <w:left w:val="none" w:sz="0" w:space="0" w:color="auto"/>
        <w:bottom w:val="none" w:sz="0" w:space="0" w:color="auto"/>
        <w:right w:val="none" w:sz="0" w:space="0" w:color="auto"/>
      </w:divBdr>
      <w:divsChild>
        <w:div w:id="1264731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0271098">
              <w:marLeft w:val="0"/>
              <w:marRight w:val="0"/>
              <w:marTop w:val="0"/>
              <w:marBottom w:val="0"/>
              <w:divBdr>
                <w:top w:val="none" w:sz="0" w:space="0" w:color="auto"/>
                <w:left w:val="none" w:sz="0" w:space="0" w:color="auto"/>
                <w:bottom w:val="none" w:sz="0" w:space="0" w:color="auto"/>
                <w:right w:val="none" w:sz="0" w:space="0" w:color="auto"/>
              </w:divBdr>
              <w:divsChild>
                <w:div w:id="483203003">
                  <w:marLeft w:val="0"/>
                  <w:marRight w:val="0"/>
                  <w:marTop w:val="0"/>
                  <w:marBottom w:val="0"/>
                  <w:divBdr>
                    <w:top w:val="none" w:sz="0" w:space="0" w:color="auto"/>
                    <w:left w:val="none" w:sz="0" w:space="0" w:color="auto"/>
                    <w:bottom w:val="none" w:sz="0" w:space="0" w:color="auto"/>
                    <w:right w:val="none" w:sz="0" w:space="0" w:color="auto"/>
                  </w:divBdr>
                  <w:divsChild>
                    <w:div w:id="18875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vethepari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Rowan Hamilton</dc:creator>
  <cp:keywords/>
  <dc:description/>
  <cp:lastModifiedBy>Conta Rowan Hamilton</cp:lastModifiedBy>
  <cp:revision>1</cp:revision>
  <dcterms:created xsi:type="dcterms:W3CDTF">2023-09-12T14:37:00Z</dcterms:created>
  <dcterms:modified xsi:type="dcterms:W3CDTF">2023-09-12T14:38:00Z</dcterms:modified>
</cp:coreProperties>
</file>